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4A8DE662"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A032DE">
        <w:rPr>
          <w:rFonts w:cs="Arial" w:hint="eastAsia"/>
        </w:rPr>
        <w:t>31</w:t>
      </w:r>
      <w:r w:rsidRPr="00863065">
        <w:rPr>
          <w:rFonts w:cs="Arial"/>
        </w:rPr>
        <w:tab/>
        <w:t>R</w:t>
      </w:r>
      <w:r>
        <w:rPr>
          <w:rFonts w:cs="Arial" w:hint="eastAsia"/>
        </w:rPr>
        <w:t>2</w:t>
      </w:r>
      <w:r w:rsidRPr="00863065">
        <w:rPr>
          <w:rFonts w:cs="Arial"/>
        </w:rPr>
        <w:t>-</w:t>
      </w:r>
      <w:r>
        <w:rPr>
          <w:rFonts w:cs="Arial"/>
        </w:rPr>
        <w:t>2</w:t>
      </w:r>
      <w:r w:rsidR="00B75B6B">
        <w:rPr>
          <w:rFonts w:cs="Arial" w:hint="eastAsia"/>
        </w:rPr>
        <w:t>5</w:t>
      </w:r>
      <w:r w:rsidR="00BF4D0C">
        <w:rPr>
          <w:rFonts w:cs="Arial" w:hint="eastAsia"/>
        </w:rPr>
        <w:t>06057</w:t>
      </w:r>
    </w:p>
    <w:p w14:paraId="298061C1" w14:textId="75620044" w:rsidR="005857F6" w:rsidRPr="00863065" w:rsidRDefault="00A032DE" w:rsidP="005857F6">
      <w:pPr>
        <w:pStyle w:val="a7"/>
        <w:tabs>
          <w:tab w:val="left" w:pos="709"/>
          <w:tab w:val="right" w:pos="9639"/>
        </w:tabs>
        <w:spacing w:after="0"/>
        <w:jc w:val="left"/>
        <w:rPr>
          <w:rFonts w:cs="Arial"/>
          <w:lang w:val="en-US"/>
        </w:rPr>
      </w:pPr>
      <w:r>
        <w:rPr>
          <w:rFonts w:cs="Arial" w:hint="eastAsia"/>
          <w:lang w:val="en-US"/>
        </w:rPr>
        <w:t>Bengaluru</w:t>
      </w:r>
      <w:r w:rsidR="005857F6">
        <w:rPr>
          <w:rFonts w:cs="Arial"/>
          <w:lang w:val="en-US"/>
        </w:rPr>
        <w:t xml:space="preserve">, </w:t>
      </w:r>
      <w:r>
        <w:rPr>
          <w:rFonts w:cs="Arial" w:hint="eastAsia"/>
          <w:lang w:val="en-US"/>
        </w:rPr>
        <w:t>India</w:t>
      </w:r>
      <w:r w:rsidR="005857F6">
        <w:rPr>
          <w:rFonts w:cs="Arial"/>
          <w:lang w:val="en-US"/>
        </w:rPr>
        <w:t>, 2</w:t>
      </w:r>
      <w:r>
        <w:rPr>
          <w:rFonts w:cs="Arial" w:hint="eastAsia"/>
          <w:lang w:val="en-US"/>
        </w:rPr>
        <w:t>5</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hint="eastAsia"/>
          <w:lang w:val="en-US"/>
        </w:rPr>
        <w:t>29</w:t>
      </w:r>
      <w:r w:rsidRPr="00A032DE">
        <w:rPr>
          <w:rFonts w:cs="Arial" w:hint="eastAsia"/>
          <w:vertAlign w:val="superscript"/>
          <w:lang w:val="en-US"/>
        </w:rPr>
        <w:t>th</w:t>
      </w:r>
      <w:r>
        <w:rPr>
          <w:rFonts w:cs="Arial" w:hint="eastAsia"/>
          <w:lang w:val="en-US"/>
        </w:rPr>
        <w:t xml:space="preserve"> August</w:t>
      </w:r>
      <w:r w:rsidR="005857F6" w:rsidRPr="00802E96">
        <w:rPr>
          <w:rFonts w:cs="Arial"/>
          <w:lang w:val="en-US"/>
        </w:rPr>
        <w:t xml:space="preserve"> 20</w:t>
      </w:r>
      <w:r w:rsidR="005857F6">
        <w:rPr>
          <w:rFonts w:cs="Arial"/>
          <w:lang w:val="en-US"/>
        </w:rPr>
        <w:t>2</w:t>
      </w:r>
      <w:r>
        <w:rPr>
          <w:rFonts w:cs="Arial" w:hint="eastAsia"/>
          <w:lang w:val="en-US"/>
        </w:rPr>
        <w:t>5</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100A6634"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A032DE" w:rsidRPr="00A032DE">
        <w:rPr>
          <w:rFonts w:cs="Arial"/>
          <w:b/>
          <w:sz w:val="24"/>
        </w:rPr>
        <w:t xml:space="preserve">Discussion on remaining issues on AIoT </w:t>
      </w:r>
      <w:r w:rsidR="00CA37C8">
        <w:rPr>
          <w:rFonts w:cs="Arial" w:hint="eastAsia"/>
          <w:b/>
          <w:sz w:val="24"/>
        </w:rPr>
        <w:t>data transfer</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231A9221"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A032DE">
        <w:rPr>
          <w:rFonts w:cs="Arial" w:hint="eastAsia"/>
          <w:b/>
          <w:sz w:val="24"/>
        </w:rPr>
        <w:t>8</w:t>
      </w:r>
      <w:r>
        <w:rPr>
          <w:rFonts w:cs="Arial"/>
          <w:b/>
          <w:sz w:val="24"/>
        </w:rPr>
        <w:t>.</w:t>
      </w:r>
      <w:r w:rsidR="00A032DE">
        <w:rPr>
          <w:rFonts w:cs="Arial" w:hint="eastAsia"/>
          <w:b/>
          <w:sz w:val="24"/>
        </w:rPr>
        <w:t>2</w:t>
      </w:r>
      <w:r>
        <w:rPr>
          <w:rFonts w:cs="Arial"/>
          <w:b/>
          <w:sz w:val="24"/>
        </w:rPr>
        <w:t>.</w:t>
      </w:r>
      <w:r w:rsidR="00BF4D0C">
        <w:rPr>
          <w:rFonts w:cs="Arial" w:hint="eastAsia"/>
          <w:b/>
          <w:sz w:val="24"/>
        </w:rPr>
        <w:t>4</w:t>
      </w:r>
    </w:p>
    <w:p w14:paraId="25B11A1D" w14:textId="77777777" w:rsidR="007E2FC8" w:rsidRDefault="007E2FC8" w:rsidP="007E2FC8">
      <w:pPr>
        <w:pStyle w:val="2"/>
        <w:numPr>
          <w:ilvl w:val="0"/>
          <w:numId w:val="1"/>
        </w:numPr>
        <w:rPr>
          <w:rFonts w:cs="Arial"/>
        </w:rPr>
      </w:pPr>
      <w:r w:rsidRPr="00863065">
        <w:rPr>
          <w:rFonts w:cs="Arial"/>
        </w:rPr>
        <w:t>Introduction</w:t>
      </w:r>
    </w:p>
    <w:p w14:paraId="71A60A1A" w14:textId="2F5E5FDE" w:rsidR="00A032DE" w:rsidRDefault="00A032DE" w:rsidP="007E2FC8">
      <w:pPr>
        <w:rPr>
          <w:szCs w:val="22"/>
        </w:rPr>
      </w:pPr>
      <w:r>
        <w:rPr>
          <w:rFonts w:hint="eastAsia"/>
          <w:szCs w:val="22"/>
        </w:rPr>
        <w:t xml:space="preserve">In the post e-mail discussion after RAN2#130 </w:t>
      </w:r>
      <w:r w:rsidR="00270E58">
        <w:rPr>
          <w:rFonts w:hint="eastAsia"/>
          <w:szCs w:val="22"/>
        </w:rPr>
        <w:t>[1]</w:t>
      </w:r>
      <w:r>
        <w:rPr>
          <w:rFonts w:hint="eastAsia"/>
          <w:szCs w:val="22"/>
        </w:rPr>
        <w:t xml:space="preserve">, following issues related to </w:t>
      </w:r>
      <w:r w:rsidR="006B7ACC">
        <w:rPr>
          <w:rFonts w:hint="eastAsia"/>
          <w:szCs w:val="22"/>
        </w:rPr>
        <w:t>data transfer remained</w:t>
      </w:r>
      <w:r>
        <w:rPr>
          <w:rFonts w:hint="eastAsia"/>
          <w:szCs w:val="22"/>
        </w:rPr>
        <w:t xml:space="preserve"> unsolved in the end.</w:t>
      </w:r>
    </w:p>
    <w:tbl>
      <w:tblPr>
        <w:tblStyle w:val="aa"/>
        <w:tblW w:w="9072" w:type="dxa"/>
        <w:tblInd w:w="-5" w:type="dxa"/>
        <w:tblLayout w:type="fixed"/>
        <w:tblLook w:val="04A0" w:firstRow="1" w:lastRow="0" w:firstColumn="1" w:lastColumn="0" w:noHBand="0" w:noVBand="1"/>
      </w:tblPr>
      <w:tblGrid>
        <w:gridCol w:w="1538"/>
        <w:gridCol w:w="5692"/>
        <w:gridCol w:w="1842"/>
      </w:tblGrid>
      <w:tr w:rsidR="006B7ACC" w14:paraId="16620DB8" w14:textId="77777777" w:rsidTr="006B7ACC">
        <w:tc>
          <w:tcPr>
            <w:tcW w:w="9072" w:type="dxa"/>
            <w:gridSpan w:val="3"/>
            <w:shd w:val="clear" w:color="auto" w:fill="C5E0B3" w:themeFill="accent6" w:themeFillTint="66"/>
          </w:tcPr>
          <w:p w14:paraId="444140DC" w14:textId="77777777" w:rsidR="006B7ACC" w:rsidRDefault="006B7ACC" w:rsidP="005753F9">
            <w:pPr>
              <w:rPr>
                <w:b/>
                <w:bCs/>
              </w:rPr>
            </w:pPr>
            <w:r>
              <w:rPr>
                <w:b/>
                <w:bCs/>
              </w:rPr>
              <w:t>Group 3: Data transmission</w:t>
            </w:r>
          </w:p>
        </w:tc>
      </w:tr>
      <w:tr w:rsidR="006B7ACC" w14:paraId="40EF48F6" w14:textId="77777777" w:rsidTr="006B7ACC">
        <w:tc>
          <w:tcPr>
            <w:tcW w:w="9072" w:type="dxa"/>
            <w:gridSpan w:val="3"/>
          </w:tcPr>
          <w:p w14:paraId="72F876B7" w14:textId="77777777" w:rsidR="006B7ACC" w:rsidRDefault="006B7ACC" w:rsidP="005753F9">
            <w:r>
              <w:rPr>
                <w:b/>
                <w:bCs/>
              </w:rPr>
              <w:t>Subgroup: AS ID</w:t>
            </w:r>
          </w:p>
        </w:tc>
      </w:tr>
      <w:tr w:rsidR="006B7ACC" w14:paraId="6E535530" w14:textId="77777777" w:rsidTr="006B7ACC">
        <w:tc>
          <w:tcPr>
            <w:tcW w:w="1538" w:type="dxa"/>
          </w:tcPr>
          <w:p w14:paraId="36CED039" w14:textId="77777777" w:rsidR="006B7ACC" w:rsidRDefault="006B7ACC" w:rsidP="005753F9">
            <w:r>
              <w:t>Issue 3-3: AS ID release</w:t>
            </w:r>
          </w:p>
        </w:tc>
        <w:tc>
          <w:tcPr>
            <w:tcW w:w="5692" w:type="dxa"/>
          </w:tcPr>
          <w:p w14:paraId="25B4C588" w14:textId="6407F4AF" w:rsidR="006B7ACC" w:rsidRPr="00DE777E" w:rsidRDefault="006B7ACC" w:rsidP="00DE777E">
            <w:pPr>
              <w:rPr>
                <w:rFonts w:eastAsiaTheme="minorEastAsia"/>
                <w:lang w:eastAsia="ja-JP"/>
              </w:rPr>
            </w:pPr>
            <w:r>
              <w:t>Whether a release message is needed for AS ID release</w:t>
            </w:r>
          </w:p>
        </w:tc>
        <w:tc>
          <w:tcPr>
            <w:tcW w:w="1842" w:type="dxa"/>
          </w:tcPr>
          <w:p w14:paraId="230ABF23" w14:textId="77777777" w:rsidR="006B7ACC" w:rsidRDefault="006B7ACC" w:rsidP="005753F9">
            <w:r>
              <w:t>Companies are invited to input views for Q#6</w:t>
            </w:r>
          </w:p>
        </w:tc>
      </w:tr>
      <w:tr w:rsidR="006B7ACC" w14:paraId="7FB69D7E" w14:textId="77777777" w:rsidTr="006B7ACC">
        <w:tc>
          <w:tcPr>
            <w:tcW w:w="9072" w:type="dxa"/>
            <w:gridSpan w:val="3"/>
          </w:tcPr>
          <w:p w14:paraId="0DF80A7A" w14:textId="77777777" w:rsidR="006B7ACC" w:rsidRDefault="006B7ACC" w:rsidP="005753F9">
            <w:r>
              <w:rPr>
                <w:b/>
                <w:bCs/>
              </w:rPr>
              <w:t>Subgroup: D2R message content for data transmission</w:t>
            </w:r>
          </w:p>
        </w:tc>
      </w:tr>
      <w:tr w:rsidR="006B7ACC" w14:paraId="3C275EBF" w14:textId="77777777" w:rsidTr="006B7ACC">
        <w:tc>
          <w:tcPr>
            <w:tcW w:w="1538" w:type="dxa"/>
          </w:tcPr>
          <w:p w14:paraId="25888F64" w14:textId="77777777" w:rsidR="006B7ACC" w:rsidRDefault="006B7ACC" w:rsidP="005753F9">
            <w:r>
              <w:t>Issue 3-5: D2R message type</w:t>
            </w:r>
          </w:p>
        </w:tc>
        <w:tc>
          <w:tcPr>
            <w:tcW w:w="5692" w:type="dxa"/>
          </w:tcPr>
          <w:p w14:paraId="0D277FBA" w14:textId="7C0180B7" w:rsidR="006B7ACC" w:rsidRPr="00DE777E" w:rsidRDefault="006B7ACC" w:rsidP="00DE777E">
            <w:pPr>
              <w:rPr>
                <w:rFonts w:eastAsiaTheme="minorEastAsia"/>
                <w:lang w:eastAsia="ja-JP"/>
              </w:rPr>
            </w:pPr>
            <w:r>
              <w:t>Whether to support D2R message type</w:t>
            </w:r>
          </w:p>
        </w:tc>
        <w:tc>
          <w:tcPr>
            <w:tcW w:w="1842" w:type="dxa"/>
          </w:tcPr>
          <w:p w14:paraId="3F5BB479" w14:textId="77777777" w:rsidR="006B7ACC" w:rsidRDefault="006B7ACC" w:rsidP="005753F9">
            <w:r>
              <w:t>Companies are invited to input views for Q#7</w:t>
            </w:r>
          </w:p>
        </w:tc>
      </w:tr>
      <w:tr w:rsidR="006B7ACC" w14:paraId="0341C10E" w14:textId="77777777" w:rsidTr="006B7ACC">
        <w:tc>
          <w:tcPr>
            <w:tcW w:w="1538" w:type="dxa"/>
          </w:tcPr>
          <w:p w14:paraId="493E7685" w14:textId="77777777" w:rsidR="006B7ACC" w:rsidRDefault="006B7ACC" w:rsidP="005753F9">
            <w:r>
              <w:rPr>
                <w:rFonts w:eastAsiaTheme="minorEastAsia"/>
              </w:rPr>
              <w:t>(New)</w:t>
            </w:r>
            <w:r>
              <w:rPr>
                <w:rFonts w:eastAsiaTheme="minorEastAsia" w:hint="eastAsia"/>
              </w:rPr>
              <w:t>I</w:t>
            </w:r>
            <w:r>
              <w:rPr>
                <w:rFonts w:eastAsiaTheme="minorEastAsia"/>
              </w:rPr>
              <w:t>ssue 3-7: more data indication handling</w:t>
            </w:r>
          </w:p>
        </w:tc>
        <w:tc>
          <w:tcPr>
            <w:tcW w:w="5692" w:type="dxa"/>
          </w:tcPr>
          <w:p w14:paraId="62ABBC5F" w14:textId="650B0019" w:rsidR="006B7ACC" w:rsidRPr="00DE777E" w:rsidRDefault="006B7ACC" w:rsidP="00DE777E">
            <w:pPr>
              <w:rPr>
                <w:rFonts w:eastAsiaTheme="minorEastAsia"/>
                <w:lang w:eastAsia="ja-JP"/>
              </w:rPr>
            </w:pPr>
            <w:r>
              <w:rPr>
                <w:rFonts w:eastAsiaTheme="minorEastAsia"/>
              </w:rPr>
              <w:t>How to set “more data indication” value in case of no NAS response available (i.e., zero SDU)</w:t>
            </w:r>
          </w:p>
        </w:tc>
        <w:tc>
          <w:tcPr>
            <w:tcW w:w="1842" w:type="dxa"/>
          </w:tcPr>
          <w:p w14:paraId="71667920" w14:textId="77777777" w:rsidR="006B7ACC" w:rsidRDefault="006B7ACC" w:rsidP="005753F9">
            <w:r>
              <w:t>Companies are invited to input views for Q#9</w:t>
            </w:r>
          </w:p>
        </w:tc>
      </w:tr>
    </w:tbl>
    <w:p w14:paraId="4A45D5B3" w14:textId="433B88D6" w:rsidR="00A032DE" w:rsidRDefault="00D269F0" w:rsidP="007E2FC8">
      <w:pPr>
        <w:rPr>
          <w:szCs w:val="22"/>
        </w:rPr>
      </w:pPr>
      <w:r>
        <w:rPr>
          <w:rFonts w:hint="eastAsia"/>
          <w:szCs w:val="22"/>
        </w:rPr>
        <w:t>Among these issues, t</w:t>
      </w:r>
      <w:r w:rsidR="00A032DE" w:rsidRPr="00A032DE">
        <w:rPr>
          <w:szCs w:val="22"/>
        </w:rPr>
        <w:t xml:space="preserve">his contribution explains our views on </w:t>
      </w:r>
      <w:r w:rsidR="004548B7">
        <w:rPr>
          <w:rFonts w:hint="eastAsia"/>
          <w:szCs w:val="22"/>
        </w:rPr>
        <w:t xml:space="preserve">Issue </w:t>
      </w:r>
      <w:r w:rsidR="006B7ACC">
        <w:rPr>
          <w:rFonts w:hint="eastAsia"/>
          <w:szCs w:val="22"/>
        </w:rPr>
        <w:t>3</w:t>
      </w:r>
      <w:r w:rsidR="004548B7">
        <w:rPr>
          <w:rFonts w:hint="eastAsia"/>
          <w:szCs w:val="22"/>
        </w:rPr>
        <w:t>-</w:t>
      </w:r>
      <w:r w:rsidR="006B7ACC">
        <w:rPr>
          <w:rFonts w:hint="eastAsia"/>
          <w:szCs w:val="22"/>
        </w:rPr>
        <w:t>5</w:t>
      </w:r>
      <w:r w:rsidR="004548B7">
        <w:rPr>
          <w:rFonts w:hint="eastAsia"/>
          <w:szCs w:val="22"/>
        </w:rPr>
        <w:t xml:space="preserve"> and Issue </w:t>
      </w:r>
      <w:r w:rsidR="006B7ACC">
        <w:rPr>
          <w:rFonts w:hint="eastAsia"/>
          <w:szCs w:val="22"/>
        </w:rPr>
        <w:t>3</w:t>
      </w:r>
      <w:r w:rsidR="004548B7">
        <w:rPr>
          <w:rFonts w:hint="eastAsia"/>
          <w:szCs w:val="22"/>
        </w:rPr>
        <w:t>-</w:t>
      </w:r>
      <w:r w:rsidR="006B7ACC">
        <w:rPr>
          <w:rFonts w:hint="eastAsia"/>
          <w:szCs w:val="22"/>
        </w:rPr>
        <w:t>7</w:t>
      </w:r>
      <w:r w:rsidR="004548B7">
        <w:rPr>
          <w:rFonts w:hint="eastAsia"/>
          <w:szCs w:val="22"/>
        </w:rPr>
        <w:t>.</w:t>
      </w:r>
    </w:p>
    <w:p w14:paraId="35F6006F" w14:textId="77777777" w:rsidR="00A032DE" w:rsidRPr="00D269F0" w:rsidRDefault="00A032DE" w:rsidP="007E2FC8">
      <w:pPr>
        <w:rPr>
          <w:szCs w:val="22"/>
        </w:rPr>
      </w:pPr>
    </w:p>
    <w:p w14:paraId="28A5E1FF" w14:textId="26D241DE" w:rsidR="004548B7" w:rsidRDefault="004548B7" w:rsidP="00A032DE">
      <w:pPr>
        <w:pStyle w:val="2"/>
        <w:numPr>
          <w:ilvl w:val="0"/>
          <w:numId w:val="2"/>
        </w:numPr>
      </w:pPr>
      <w:r>
        <w:rPr>
          <w:rFonts w:hint="eastAsia"/>
        </w:rPr>
        <w:t>Discussion</w:t>
      </w:r>
    </w:p>
    <w:p w14:paraId="622B372B" w14:textId="531306F4" w:rsidR="007E2FC8" w:rsidRDefault="004548B7" w:rsidP="004548B7">
      <w:pPr>
        <w:pStyle w:val="2"/>
        <w:numPr>
          <w:ilvl w:val="1"/>
          <w:numId w:val="2"/>
        </w:numPr>
      </w:pPr>
      <w:r>
        <w:rPr>
          <w:rFonts w:hint="eastAsia"/>
        </w:rPr>
        <w:t xml:space="preserve">Issue </w:t>
      </w:r>
      <w:r w:rsidR="00D269F0">
        <w:rPr>
          <w:rFonts w:hint="eastAsia"/>
        </w:rPr>
        <w:t>3</w:t>
      </w:r>
      <w:r>
        <w:rPr>
          <w:rFonts w:hint="eastAsia"/>
        </w:rPr>
        <w:t>-</w:t>
      </w:r>
      <w:r w:rsidR="00D269F0">
        <w:rPr>
          <w:rFonts w:hint="eastAsia"/>
        </w:rPr>
        <w:t>5</w:t>
      </w:r>
      <w:r>
        <w:rPr>
          <w:rFonts w:hint="eastAsia"/>
        </w:rPr>
        <w:t>: Whether</w:t>
      </w:r>
      <w:r w:rsidR="00D269F0">
        <w:rPr>
          <w:rFonts w:hint="eastAsia"/>
        </w:rPr>
        <w:t xml:space="preserve"> to support D2R message type</w:t>
      </w:r>
    </w:p>
    <w:p w14:paraId="172626E4" w14:textId="06716422" w:rsidR="00386905" w:rsidRDefault="00386905" w:rsidP="00386905">
      <w:pPr>
        <w:rPr>
          <w:szCs w:val="22"/>
        </w:rPr>
      </w:pPr>
      <w:r w:rsidRPr="00386905">
        <w:rPr>
          <w:szCs w:val="22"/>
        </w:rPr>
        <w:t>At least for the procedure starting with a Release 19 reader sending paging to a Release 19 device, multiple companies have pointed out that the D2R message type is unnecessary.</w:t>
      </w:r>
      <w:r>
        <w:rPr>
          <w:rFonts w:hint="eastAsia"/>
          <w:szCs w:val="22"/>
        </w:rPr>
        <w:t xml:space="preserve"> </w:t>
      </w:r>
      <w:r w:rsidRPr="00386905">
        <w:rPr>
          <w:szCs w:val="22"/>
        </w:rPr>
        <w:t>In other words, since the device sends the corresponding D2R message using the D2R resource indicated by the reader in the R2D message it received, the reader can implicitly identify all received D2R messages.</w:t>
      </w:r>
    </w:p>
    <w:p w14:paraId="36A964DD" w14:textId="786E170E" w:rsidR="00386905" w:rsidRDefault="00386905" w:rsidP="00386905">
      <w:pPr>
        <w:rPr>
          <w:szCs w:val="22"/>
        </w:rPr>
      </w:pPr>
      <w:r w:rsidRPr="00386905">
        <w:rPr>
          <w:szCs w:val="22"/>
        </w:rPr>
        <w:t>Therefore, the primary motivation for introducing the D2R message type in Release 19 is to ensure extensibility in Release 20.</w:t>
      </w:r>
      <w:r>
        <w:rPr>
          <w:rFonts w:hint="eastAsia"/>
          <w:szCs w:val="22"/>
        </w:rPr>
        <w:t xml:space="preserve"> </w:t>
      </w:r>
      <w:r w:rsidRPr="00386905">
        <w:rPr>
          <w:szCs w:val="22"/>
        </w:rPr>
        <w:t>Specifically, it is important to guarantee that a Release 19 reader can ignore messages received from a Release 20 device that do not exist in Release 19.</w:t>
      </w:r>
    </w:p>
    <w:p w14:paraId="2AF1956D" w14:textId="78C949EC" w:rsidR="00386905" w:rsidRDefault="00F9038B" w:rsidP="00F9038B">
      <w:pPr>
        <w:rPr>
          <w:szCs w:val="22"/>
        </w:rPr>
      </w:pPr>
      <w:r>
        <w:rPr>
          <w:rFonts w:hint="eastAsia"/>
          <w:szCs w:val="22"/>
        </w:rPr>
        <w:t>Then t</w:t>
      </w:r>
      <w:r w:rsidRPr="00F9038B">
        <w:rPr>
          <w:szCs w:val="22"/>
        </w:rPr>
        <w:t xml:space="preserve">he issue is whether Release 20 devices may coexist under </w:t>
      </w:r>
      <w:r w:rsidR="0012422C">
        <w:rPr>
          <w:rFonts w:hint="eastAsia"/>
          <w:szCs w:val="22"/>
        </w:rPr>
        <w:t>Release 19</w:t>
      </w:r>
      <w:r w:rsidRPr="00F9038B">
        <w:rPr>
          <w:szCs w:val="22"/>
        </w:rPr>
        <w:t xml:space="preserve"> reader</w:t>
      </w:r>
      <w:r w:rsidR="0012422C">
        <w:rPr>
          <w:rFonts w:hint="eastAsia"/>
          <w:szCs w:val="22"/>
        </w:rPr>
        <w:t>s</w:t>
      </w:r>
      <w:r w:rsidRPr="00F9038B">
        <w:rPr>
          <w:szCs w:val="22"/>
        </w:rPr>
        <w:t>.</w:t>
      </w:r>
      <w:r>
        <w:rPr>
          <w:rFonts w:hint="eastAsia"/>
          <w:szCs w:val="22"/>
        </w:rPr>
        <w:t xml:space="preserve"> In</w:t>
      </w:r>
      <w:r w:rsidRPr="00F9038B">
        <w:rPr>
          <w:szCs w:val="22"/>
        </w:rPr>
        <w:t xml:space="preserve"> RAN#106, both an SID for outdoor scenarios and a WID for indoor scenarios were approved as part of Release 20 Ambient IoT.</w:t>
      </w:r>
      <w:r>
        <w:rPr>
          <w:rFonts w:hint="eastAsia"/>
          <w:szCs w:val="22"/>
        </w:rPr>
        <w:t xml:space="preserve"> </w:t>
      </w:r>
      <w:r w:rsidRPr="00F9038B">
        <w:rPr>
          <w:szCs w:val="22"/>
        </w:rPr>
        <w:t>The WID Objective includes the following statement:</w:t>
      </w:r>
    </w:p>
    <w:tbl>
      <w:tblPr>
        <w:tblStyle w:val="aa"/>
        <w:tblW w:w="0" w:type="auto"/>
        <w:tblLook w:val="04A0" w:firstRow="1" w:lastRow="0" w:firstColumn="1" w:lastColumn="0" w:noHBand="0" w:noVBand="1"/>
      </w:tblPr>
      <w:tblGrid>
        <w:gridCol w:w="9629"/>
      </w:tblGrid>
      <w:tr w:rsidR="00386905" w14:paraId="56518097" w14:textId="77777777">
        <w:tc>
          <w:tcPr>
            <w:tcW w:w="9629" w:type="dxa"/>
          </w:tcPr>
          <w:p w14:paraId="6150396F" w14:textId="26F3500A" w:rsidR="00386905" w:rsidRPr="00386905" w:rsidRDefault="00DD27B2" w:rsidP="00386905">
            <w:pPr>
              <w:rPr>
                <w:rFonts w:eastAsiaTheme="minorEastAsia"/>
                <w:b/>
                <w:bCs/>
                <w:szCs w:val="22"/>
                <w:u w:val="single"/>
                <w:lang w:eastAsia="ja-JP"/>
              </w:rPr>
            </w:pPr>
            <w:r>
              <w:rPr>
                <w:rFonts w:eastAsiaTheme="minorEastAsia" w:hint="eastAsia"/>
                <w:b/>
                <w:bCs/>
                <w:szCs w:val="22"/>
                <w:u w:val="single"/>
                <w:lang w:eastAsia="ja-JP"/>
              </w:rPr>
              <w:lastRenderedPageBreak/>
              <w:t>W</w:t>
            </w:r>
            <w:r w:rsidR="00386905">
              <w:rPr>
                <w:rFonts w:eastAsiaTheme="minorEastAsia" w:hint="eastAsia"/>
                <w:b/>
                <w:bCs/>
                <w:szCs w:val="22"/>
                <w:u w:val="single"/>
                <w:lang w:eastAsia="ja-JP"/>
              </w:rPr>
              <w:t xml:space="preserve">ID for </w:t>
            </w:r>
            <w:r w:rsidR="00447051">
              <w:rPr>
                <w:rFonts w:eastAsiaTheme="minorEastAsia" w:hint="eastAsia"/>
                <w:b/>
                <w:bCs/>
                <w:szCs w:val="22"/>
                <w:u w:val="single"/>
                <w:lang w:eastAsia="ja-JP"/>
              </w:rPr>
              <w:t>Release 20 Ambient IoT [2]</w:t>
            </w:r>
          </w:p>
          <w:p w14:paraId="0AAE286C" w14:textId="78CD9233" w:rsidR="00386905" w:rsidRPr="00DD27B2" w:rsidRDefault="00DD27B2" w:rsidP="00DD27B2">
            <w:pPr>
              <w:overflowPunct w:val="0"/>
              <w:autoSpaceDE w:val="0"/>
              <w:autoSpaceDN w:val="0"/>
              <w:adjustRightInd w:val="0"/>
              <w:spacing w:before="80" w:after="80"/>
              <w:textAlignment w:val="baseline"/>
              <w:rPr>
                <w:rFonts w:ascii="Times New Roman" w:eastAsiaTheme="minorEastAsia" w:hAnsi="Times New Roman" w:cs="Times New Roman"/>
                <w:bCs/>
                <w:lang w:val="en-GB" w:eastAsia="ja-JP"/>
              </w:rPr>
            </w:pPr>
            <w:r w:rsidRPr="00DD27B2">
              <w:rPr>
                <w:rFonts w:ascii="Times New Roman" w:eastAsia="DengXian" w:hAnsi="Times New Roman" w:cs="Times New Roman"/>
                <w:lang w:val="en-GB" w:eastAsia="en-GB"/>
              </w:rPr>
              <w:t>Note: Coexistence between Device 1 and Device 2b/C is not considered in the same deployment in the same band.</w:t>
            </w:r>
          </w:p>
        </w:tc>
      </w:tr>
    </w:tbl>
    <w:p w14:paraId="79A10BEC" w14:textId="5ACB185C" w:rsidR="0012422C" w:rsidRDefault="0012422C" w:rsidP="00386905">
      <w:pPr>
        <w:rPr>
          <w:szCs w:val="22"/>
        </w:rPr>
      </w:pPr>
      <w:r w:rsidRPr="0012422C">
        <w:rPr>
          <w:szCs w:val="22"/>
        </w:rPr>
        <w:t>Based on this objective, considering that Release 20 Device 2b/C is intended for outdoor scenario operations, it can be assumed that it will not coexist with Release 19 readers deployed in indoor environments</w:t>
      </w:r>
      <w:r>
        <w:rPr>
          <w:rFonts w:hint="eastAsia"/>
          <w:szCs w:val="22"/>
        </w:rPr>
        <w:t>.</w:t>
      </w:r>
      <w:r w:rsidR="00966158">
        <w:rPr>
          <w:rFonts w:hint="eastAsia"/>
          <w:szCs w:val="22"/>
        </w:rPr>
        <w:t xml:space="preserve"> </w:t>
      </w:r>
    </w:p>
    <w:p w14:paraId="60662B29" w14:textId="40F61E62" w:rsidR="00386905" w:rsidRDefault="00966158" w:rsidP="0012422C">
      <w:pPr>
        <w:rPr>
          <w:szCs w:val="22"/>
        </w:rPr>
      </w:pPr>
      <w:r w:rsidRPr="00966158">
        <w:rPr>
          <w:szCs w:val="22"/>
        </w:rPr>
        <w:t>On the other hand, a scenario in which a Release 20 Device 1 accesses a Release 19 reader is anticipated.</w:t>
      </w:r>
      <w:r>
        <w:rPr>
          <w:rFonts w:hint="eastAsia"/>
          <w:szCs w:val="22"/>
        </w:rPr>
        <w:t xml:space="preserve"> </w:t>
      </w:r>
      <w:r w:rsidR="0012422C" w:rsidRPr="0012422C">
        <w:rPr>
          <w:szCs w:val="22"/>
        </w:rPr>
        <w:t xml:space="preserve">This coexistence is a realistic scenario, similar to </w:t>
      </w:r>
      <w:r w:rsidR="0012422C">
        <w:rPr>
          <w:rFonts w:hint="eastAsia"/>
          <w:szCs w:val="22"/>
        </w:rPr>
        <w:t>the fact that</w:t>
      </w:r>
      <w:r w:rsidR="0012422C" w:rsidRPr="0012422C">
        <w:rPr>
          <w:szCs w:val="22"/>
        </w:rPr>
        <w:t xml:space="preserve"> a UE supporting the latest release may access a base station that has not yet been upgraded to the latest NR release.</w:t>
      </w:r>
      <w:r w:rsidR="0012422C">
        <w:rPr>
          <w:rFonts w:hint="eastAsia"/>
          <w:szCs w:val="22"/>
        </w:rPr>
        <w:t xml:space="preserve"> </w:t>
      </w:r>
      <w:r w:rsidR="0012422C" w:rsidRPr="0012422C">
        <w:rPr>
          <w:szCs w:val="22"/>
        </w:rPr>
        <w:t>In the same way, indoor-oriented chips that support Release 20 and are available on the market may be introduced into customer environments where Release 19 Ambient IoT for indoor use has already been deployed.</w:t>
      </w:r>
    </w:p>
    <w:p w14:paraId="5E6971F4" w14:textId="5574E569" w:rsidR="00225894" w:rsidRDefault="00225894" w:rsidP="00225894">
      <w:pPr>
        <w:pStyle w:val="ObservationandProposal"/>
        <w:rPr>
          <w:rFonts w:hint="eastAsia"/>
        </w:rPr>
      </w:pPr>
      <w:r>
        <w:rPr>
          <w:rFonts w:hint="eastAsia"/>
        </w:rPr>
        <w:t>Observation 1.</w:t>
      </w:r>
      <w:r>
        <w:tab/>
      </w:r>
      <w:r>
        <w:rPr>
          <w:rFonts w:hint="eastAsia"/>
        </w:rPr>
        <w:t>(Issue 3-5) Based on the WID of R20 Ambient IoT, the scenario in which Release 20 Device 1 is paged by Release 19 reader can exist.</w:t>
      </w:r>
    </w:p>
    <w:p w14:paraId="6722CB4A" w14:textId="6DC0DE5D" w:rsidR="00661AB4" w:rsidRDefault="00E5409C" w:rsidP="00997524">
      <w:pPr>
        <w:rPr>
          <w:szCs w:val="22"/>
        </w:rPr>
      </w:pPr>
      <w:r>
        <w:rPr>
          <w:rFonts w:hint="eastAsia"/>
          <w:szCs w:val="22"/>
        </w:rPr>
        <w:t>Considering</w:t>
      </w:r>
      <w:r w:rsidRPr="00E5409C">
        <w:rPr>
          <w:szCs w:val="22"/>
        </w:rPr>
        <w:t xml:space="preserve"> such scenarios, </w:t>
      </w:r>
      <w:r>
        <w:rPr>
          <w:rFonts w:hint="eastAsia"/>
          <w:szCs w:val="22"/>
        </w:rPr>
        <w:t>it is</w:t>
      </w:r>
      <w:r w:rsidRPr="00E5409C">
        <w:rPr>
          <w:szCs w:val="22"/>
        </w:rPr>
        <w:t xml:space="preserve"> needed to allow a Release 19 reader to ignore D2R messages introduced in Release 20 that are received from a Release 20 Device 1.</w:t>
      </w:r>
      <w:r>
        <w:rPr>
          <w:rFonts w:hint="eastAsia"/>
          <w:szCs w:val="22"/>
        </w:rPr>
        <w:t xml:space="preserve"> </w:t>
      </w:r>
      <w:r w:rsidR="006A0F7F">
        <w:rPr>
          <w:rFonts w:hint="eastAsia"/>
          <w:szCs w:val="22"/>
        </w:rPr>
        <w:t>One solution is to introduce D2R message type field in every D2R message in the same way as R2D, but we are open to any other solutions more efficient in terms of overhead.</w:t>
      </w:r>
    </w:p>
    <w:p w14:paraId="70C4B3F9" w14:textId="7E48BA8D" w:rsidR="00E5409C" w:rsidRPr="00F9038B" w:rsidRDefault="00E5409C" w:rsidP="00E5409C">
      <w:pPr>
        <w:pStyle w:val="ObservationandProposal"/>
      </w:pPr>
      <w:r>
        <w:rPr>
          <w:rFonts w:hint="eastAsia"/>
        </w:rPr>
        <w:t>Proposal 1.</w:t>
      </w:r>
      <w:r>
        <w:tab/>
      </w:r>
      <w:r w:rsidR="00D03090">
        <w:rPr>
          <w:rFonts w:hint="eastAsia"/>
        </w:rPr>
        <w:t xml:space="preserve">(Issue 3-5) </w:t>
      </w:r>
      <w:r w:rsidR="006A0F7F">
        <w:rPr>
          <w:rFonts w:hint="eastAsia"/>
        </w:rPr>
        <w:t xml:space="preserve">Release 19 readers </w:t>
      </w:r>
      <w:r w:rsidR="00EC3EEA">
        <w:rPr>
          <w:rFonts w:hint="eastAsia"/>
        </w:rPr>
        <w:t>should</w:t>
      </w:r>
      <w:r w:rsidR="006A0F7F">
        <w:rPr>
          <w:rFonts w:hint="eastAsia"/>
        </w:rPr>
        <w:t xml:space="preserve"> ignore Release 20</w:t>
      </w:r>
      <w:r w:rsidR="00EC3EEA">
        <w:rPr>
          <w:rFonts w:hint="eastAsia"/>
        </w:rPr>
        <w:t xml:space="preserve">-introduced </w:t>
      </w:r>
      <w:r w:rsidR="006A0F7F">
        <w:rPr>
          <w:rFonts w:hint="eastAsia"/>
        </w:rPr>
        <w:t xml:space="preserve">D2R message. </w:t>
      </w:r>
      <w:r>
        <w:rPr>
          <w:rFonts w:hint="eastAsia"/>
        </w:rPr>
        <w:t>Introduc</w:t>
      </w:r>
      <w:r w:rsidR="006A0F7F">
        <w:rPr>
          <w:rFonts w:hint="eastAsia"/>
        </w:rPr>
        <w:t xml:space="preserve">ing D2R message type can be </w:t>
      </w:r>
      <w:r w:rsidR="00EC3EEA">
        <w:rPr>
          <w:rFonts w:hint="eastAsia"/>
        </w:rPr>
        <w:t xml:space="preserve">a </w:t>
      </w:r>
      <w:r w:rsidR="006A0F7F">
        <w:rPr>
          <w:rFonts w:hint="eastAsia"/>
        </w:rPr>
        <w:t>solution.</w:t>
      </w:r>
    </w:p>
    <w:p w14:paraId="750AF69A" w14:textId="77777777" w:rsidR="00386905" w:rsidRDefault="00386905" w:rsidP="007E2FC8">
      <w:pPr>
        <w:rPr>
          <w:szCs w:val="22"/>
        </w:rPr>
      </w:pPr>
    </w:p>
    <w:p w14:paraId="1A9E4A9F" w14:textId="064CF396" w:rsidR="006A60C7" w:rsidRDefault="006A60C7" w:rsidP="006A60C7">
      <w:pPr>
        <w:pStyle w:val="2"/>
        <w:numPr>
          <w:ilvl w:val="1"/>
          <w:numId w:val="2"/>
        </w:numPr>
      </w:pPr>
      <w:r>
        <w:rPr>
          <w:rFonts w:hint="eastAsia"/>
        </w:rPr>
        <w:t xml:space="preserve">Issue </w:t>
      </w:r>
      <w:r w:rsidR="00D269F0">
        <w:rPr>
          <w:rFonts w:hint="eastAsia"/>
        </w:rPr>
        <w:t>3</w:t>
      </w:r>
      <w:r>
        <w:rPr>
          <w:rFonts w:hint="eastAsia"/>
        </w:rPr>
        <w:t>-</w:t>
      </w:r>
      <w:r w:rsidR="00D269F0">
        <w:rPr>
          <w:rFonts w:hint="eastAsia"/>
        </w:rPr>
        <w:t>7</w:t>
      </w:r>
      <w:r>
        <w:rPr>
          <w:rFonts w:hint="eastAsia"/>
        </w:rPr>
        <w:t xml:space="preserve">: </w:t>
      </w:r>
      <w:r w:rsidR="00D269F0">
        <w:rPr>
          <w:rFonts w:hint="eastAsia"/>
        </w:rPr>
        <w:t>How to set MDI w</w:t>
      </w:r>
      <w:r w:rsidR="006B1212">
        <w:rPr>
          <w:rFonts w:hint="eastAsia"/>
        </w:rPr>
        <w:t xml:space="preserve">hen </w:t>
      </w:r>
      <w:r w:rsidR="00D269F0">
        <w:rPr>
          <w:rFonts w:hint="eastAsia"/>
        </w:rPr>
        <w:t xml:space="preserve">D2R NAS message is not </w:t>
      </w:r>
      <w:r w:rsidR="000F4F2A">
        <w:t>available</w:t>
      </w:r>
    </w:p>
    <w:p w14:paraId="314FDA4B" w14:textId="14D55885" w:rsidR="00AE4832" w:rsidRDefault="00D95C0A" w:rsidP="00D95C0A">
      <w:pPr>
        <w:rPr>
          <w:szCs w:val="22"/>
        </w:rPr>
      </w:pPr>
      <w:r w:rsidRPr="00D95C0A">
        <w:rPr>
          <w:szCs w:val="22"/>
        </w:rPr>
        <w:t>In the last meeting [3], RAN2 agreed that if a device fails to generate a NAS message before the arrival of the D2R resource indicated by the reader, it should send a D2R Data Transfer message containing a 0 SDU.</w:t>
      </w:r>
      <w:r>
        <w:rPr>
          <w:rFonts w:hint="eastAsia"/>
          <w:szCs w:val="22"/>
        </w:rPr>
        <w:t xml:space="preserve"> </w:t>
      </w:r>
      <w:r w:rsidRPr="00D95C0A">
        <w:rPr>
          <w:szCs w:val="22"/>
        </w:rPr>
        <w:t>A</w:t>
      </w:r>
      <w:r w:rsidR="000121C5">
        <w:rPr>
          <w:rFonts w:hint="eastAsia"/>
          <w:szCs w:val="22"/>
        </w:rPr>
        <w:t>lso</w:t>
      </w:r>
      <w:r w:rsidRPr="00D95C0A">
        <w:rPr>
          <w:szCs w:val="22"/>
        </w:rPr>
        <w:t xml:space="preserve">, </w:t>
      </w:r>
      <w:r w:rsidR="000121C5" w:rsidRPr="00D95C0A">
        <w:rPr>
          <w:szCs w:val="22"/>
        </w:rPr>
        <w:t>an LS was sent to CT1 (cc. SA2)</w:t>
      </w:r>
      <w:r w:rsidR="000121C5">
        <w:rPr>
          <w:rFonts w:hint="eastAsia"/>
          <w:szCs w:val="22"/>
        </w:rPr>
        <w:t xml:space="preserve"> </w:t>
      </w:r>
      <w:r w:rsidRPr="00D95C0A">
        <w:rPr>
          <w:szCs w:val="22"/>
        </w:rPr>
        <w:t xml:space="preserve">to </w:t>
      </w:r>
      <w:r w:rsidR="000121C5">
        <w:rPr>
          <w:rFonts w:hint="eastAsia"/>
          <w:szCs w:val="22"/>
        </w:rPr>
        <w:t>ask</w:t>
      </w:r>
      <w:r w:rsidRPr="00D95C0A">
        <w:rPr>
          <w:szCs w:val="22"/>
        </w:rPr>
        <w:t xml:space="preserve"> whether this issue can be addressed, [4].</w:t>
      </w:r>
      <w:r>
        <w:rPr>
          <w:rFonts w:hint="eastAsia"/>
          <w:szCs w:val="22"/>
        </w:rPr>
        <w:t xml:space="preserve"> </w:t>
      </w:r>
    </w:p>
    <w:p w14:paraId="133D248D" w14:textId="77777777" w:rsidR="0061727C" w:rsidRPr="000F028A" w:rsidRDefault="0061727C" w:rsidP="0061727C">
      <w:pPr>
        <w:pStyle w:val="Doc-text2"/>
        <w:pBdr>
          <w:top w:val="single" w:sz="4" w:space="1" w:color="auto"/>
          <w:left w:val="single" w:sz="4" w:space="4" w:color="auto"/>
          <w:bottom w:val="single" w:sz="4" w:space="1" w:color="auto"/>
          <w:right w:val="single" w:sz="4" w:space="4" w:color="auto"/>
        </w:pBdr>
        <w:rPr>
          <w:b/>
          <w:bCs/>
          <w:lang w:eastAsia="ja-JP"/>
        </w:rPr>
      </w:pPr>
      <w:r w:rsidRPr="000F028A">
        <w:rPr>
          <w:b/>
          <w:bCs/>
          <w:lang w:eastAsia="ja-JP"/>
        </w:rPr>
        <w:t xml:space="preserve">Agreements </w:t>
      </w:r>
    </w:p>
    <w:p w14:paraId="2BAFF5F6" w14:textId="77777777" w:rsidR="0061727C" w:rsidRPr="00AF1B8B" w:rsidRDefault="0061727C" w:rsidP="0061727C">
      <w:pPr>
        <w:pStyle w:val="Doc-text2"/>
        <w:numPr>
          <w:ilvl w:val="0"/>
          <w:numId w:val="11"/>
        </w:numPr>
        <w:pBdr>
          <w:top w:val="single" w:sz="4" w:space="1" w:color="auto"/>
          <w:left w:val="single" w:sz="4" w:space="4" w:color="auto"/>
          <w:bottom w:val="single" w:sz="4" w:space="1" w:color="auto"/>
          <w:right w:val="single" w:sz="4" w:space="4" w:color="auto"/>
        </w:pBdr>
      </w:pPr>
      <w:r w:rsidRPr="00AF1B8B">
        <w:t xml:space="preserve">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w:t>
      </w:r>
    </w:p>
    <w:p w14:paraId="187BB5D0" w14:textId="77777777" w:rsidR="0061727C" w:rsidRPr="00AF1B8B" w:rsidRDefault="0061727C" w:rsidP="0061727C">
      <w:pPr>
        <w:pStyle w:val="Doc-text2"/>
        <w:numPr>
          <w:ilvl w:val="0"/>
          <w:numId w:val="11"/>
        </w:numPr>
        <w:pBdr>
          <w:top w:val="single" w:sz="4" w:space="1" w:color="auto"/>
          <w:left w:val="single" w:sz="4" w:space="4" w:color="auto"/>
          <w:bottom w:val="single" w:sz="4" w:space="1" w:color="auto"/>
          <w:right w:val="single" w:sz="4" w:space="4" w:color="auto"/>
        </w:pBdr>
      </w:pPr>
      <w:r w:rsidRPr="00AF1B8B">
        <w:t>Send LS to CT1 to inform the agreement</w:t>
      </w:r>
      <w:r>
        <w:t xml:space="preserve"> 1</w:t>
      </w:r>
      <w:r w:rsidRPr="00AF1B8B">
        <w:t xml:space="preserve"> to CT1 and explain that we have an issue with delayed NAS write success response.   RAN2 would prefer that this is handled by CT1 (and give the example of sending NAS response upon successful reception of write command).    Ask if this can be handled by CT1</w:t>
      </w:r>
    </w:p>
    <w:p w14:paraId="09FAA193" w14:textId="77777777" w:rsidR="00460ED8" w:rsidRDefault="00460ED8" w:rsidP="00460ED8">
      <w:pPr>
        <w:rPr>
          <w:szCs w:val="22"/>
        </w:rPr>
      </w:pPr>
    </w:p>
    <w:p w14:paraId="6540FA07" w14:textId="5672623D" w:rsidR="00460ED8" w:rsidRPr="00460ED8" w:rsidRDefault="00460ED8" w:rsidP="00460ED8">
      <w:pPr>
        <w:rPr>
          <w:szCs w:val="22"/>
        </w:rPr>
      </w:pPr>
      <w:r w:rsidRPr="00460ED8">
        <w:rPr>
          <w:szCs w:val="22"/>
        </w:rPr>
        <w:t>We believe that the concerned situation</w:t>
      </w:r>
      <w:r>
        <w:rPr>
          <w:rFonts w:hint="eastAsia"/>
          <w:szCs w:val="22"/>
        </w:rPr>
        <w:t xml:space="preserve"> in the agreements above</w:t>
      </w:r>
      <w:r w:rsidRPr="00460ED8">
        <w:rPr>
          <w:szCs w:val="22"/>
        </w:rPr>
        <w:t xml:space="preserve"> can be addressed solely within RAN.</w:t>
      </w:r>
    </w:p>
    <w:p w14:paraId="524EFEF6" w14:textId="6B000538" w:rsidR="000121C5" w:rsidRDefault="00460ED8" w:rsidP="00460ED8">
      <w:pPr>
        <w:rPr>
          <w:szCs w:val="22"/>
        </w:rPr>
      </w:pPr>
      <w:r w:rsidRPr="00460ED8">
        <w:rPr>
          <w:szCs w:val="22"/>
        </w:rPr>
        <w:t>As illustrated in Figure 1, when a reader receives a message containing a 0 SDU, it can perform D2R scheduling again for the corresponding device before notifying AIoTF</w:t>
      </w:r>
      <w:r>
        <w:rPr>
          <w:rFonts w:hint="eastAsia"/>
          <w:szCs w:val="22"/>
        </w:rPr>
        <w:t xml:space="preserve"> (</w:t>
      </w:r>
      <w:r w:rsidRPr="00460ED8">
        <w:rPr>
          <w:szCs w:val="22"/>
        </w:rPr>
        <w:t xml:space="preserve">this behavior is </w:t>
      </w:r>
      <w:r>
        <w:rPr>
          <w:rFonts w:hint="eastAsia"/>
          <w:szCs w:val="22"/>
        </w:rPr>
        <w:t>the same as</w:t>
      </w:r>
      <w:r w:rsidRPr="00460ED8">
        <w:rPr>
          <w:szCs w:val="22"/>
        </w:rPr>
        <w:t xml:space="preserve"> the case where </w:t>
      </w:r>
      <w:r>
        <w:rPr>
          <w:rFonts w:hint="eastAsia"/>
          <w:szCs w:val="22"/>
        </w:rPr>
        <w:t xml:space="preserve">the SDU is segmented and </w:t>
      </w:r>
      <w:r w:rsidRPr="00460ED8">
        <w:rPr>
          <w:szCs w:val="22"/>
        </w:rPr>
        <w:t>the More Data Indicator in the previous D2R Data Transfer was set to 1</w:t>
      </w:r>
      <w:r>
        <w:rPr>
          <w:rFonts w:hint="eastAsia"/>
          <w:szCs w:val="22"/>
        </w:rPr>
        <w:t>)</w:t>
      </w:r>
      <w:r w:rsidRPr="00460ED8">
        <w:rPr>
          <w:szCs w:val="22"/>
        </w:rPr>
        <w:t>.</w:t>
      </w:r>
      <w:r>
        <w:rPr>
          <w:rFonts w:hint="eastAsia"/>
          <w:szCs w:val="22"/>
        </w:rPr>
        <w:t xml:space="preserve"> </w:t>
      </w:r>
      <w:r w:rsidRPr="00460ED8">
        <w:rPr>
          <w:szCs w:val="22"/>
        </w:rPr>
        <w:t>By doing so, the reader can complete the reception of all D2R data before transmitting it to AIoTF, and thus, there is no impact on CT1</w:t>
      </w:r>
      <w:r>
        <w:rPr>
          <w:rFonts w:hint="eastAsia"/>
          <w:szCs w:val="22"/>
        </w:rPr>
        <w:t xml:space="preserve"> and SA2</w:t>
      </w:r>
      <w:r w:rsidRPr="00460ED8">
        <w:rPr>
          <w:szCs w:val="22"/>
        </w:rPr>
        <w:t>.</w:t>
      </w:r>
    </w:p>
    <w:p w14:paraId="533270E5" w14:textId="7D43F24E" w:rsidR="000121C5" w:rsidRDefault="000121C5" w:rsidP="00460ED8">
      <w:pPr>
        <w:jc w:val="center"/>
        <w:rPr>
          <w:szCs w:val="22"/>
        </w:rPr>
      </w:pPr>
      <w:r>
        <w:rPr>
          <w:noProof/>
          <w:szCs w:val="22"/>
        </w:rPr>
        <w:lastRenderedPageBreak/>
        <w:drawing>
          <wp:inline distT="0" distB="0" distL="0" distR="0" wp14:anchorId="0F4AB9A0" wp14:editId="65D43D7B">
            <wp:extent cx="6055360" cy="3673976"/>
            <wp:effectExtent l="0" t="0" r="2540" b="3175"/>
            <wp:docPr id="32806954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4697" cy="3679641"/>
                    </a:xfrm>
                    <a:prstGeom prst="rect">
                      <a:avLst/>
                    </a:prstGeom>
                    <a:noFill/>
                    <a:ln>
                      <a:noFill/>
                    </a:ln>
                  </pic:spPr>
                </pic:pic>
              </a:graphicData>
            </a:graphic>
          </wp:inline>
        </w:drawing>
      </w:r>
    </w:p>
    <w:p w14:paraId="6F48B184" w14:textId="4D7205AD" w:rsidR="0058362B" w:rsidRPr="00460ED8" w:rsidRDefault="00460ED8" w:rsidP="00460ED8">
      <w:pPr>
        <w:jc w:val="center"/>
        <w:rPr>
          <w:b/>
          <w:bCs/>
          <w:szCs w:val="22"/>
        </w:rPr>
      </w:pPr>
      <w:r w:rsidRPr="00460ED8">
        <w:rPr>
          <w:rFonts w:hint="eastAsia"/>
          <w:b/>
          <w:bCs/>
          <w:szCs w:val="22"/>
        </w:rPr>
        <w:t>Figure 1.</w:t>
      </w:r>
      <w:r>
        <w:rPr>
          <w:rFonts w:hint="eastAsia"/>
          <w:b/>
          <w:bCs/>
          <w:szCs w:val="22"/>
        </w:rPr>
        <w:t xml:space="preserve"> RAN-based solution without impact on CN.</w:t>
      </w:r>
    </w:p>
    <w:p w14:paraId="0852827C" w14:textId="7C8FA83E" w:rsidR="00F9453E" w:rsidRDefault="00F9453E" w:rsidP="00AE4832">
      <w:pPr>
        <w:rPr>
          <w:szCs w:val="22"/>
        </w:rPr>
      </w:pPr>
      <w:r w:rsidRPr="00F9453E">
        <w:rPr>
          <w:szCs w:val="22"/>
        </w:rPr>
        <w:t>Therefore, to unify the reader’s behavior when receiving a message containing 0 SDU with that of receiving a D2R segment, the More Data Indicator should be set to 1 when transmitting a 0 SDU.</w:t>
      </w:r>
    </w:p>
    <w:p w14:paraId="655C359E" w14:textId="35D7D788" w:rsidR="00205711" w:rsidRDefault="00205711" w:rsidP="00205711">
      <w:pPr>
        <w:pStyle w:val="ObservationandProposal"/>
        <w:rPr>
          <w:rFonts w:hint="eastAsia"/>
        </w:rPr>
      </w:pPr>
      <w:r>
        <w:rPr>
          <w:rFonts w:hint="eastAsia"/>
        </w:rPr>
        <w:t>Observation 2.</w:t>
      </w:r>
      <w:r>
        <w:tab/>
      </w:r>
      <w:r>
        <w:rPr>
          <w:rFonts w:hint="eastAsia"/>
        </w:rPr>
        <w:t>(Issue 3-7) Althhough RAN2 sent CT1 to ask to solve the situation in which the device delivers Data Transfer message with 0 SDU, RAN2 can find a solution without the CN impact.</w:t>
      </w:r>
    </w:p>
    <w:p w14:paraId="72C615B2" w14:textId="7215CA4F" w:rsidR="00F9453E" w:rsidRDefault="00F9453E" w:rsidP="00F9453E">
      <w:pPr>
        <w:pStyle w:val="ObservationandProposal"/>
      </w:pPr>
      <w:r>
        <w:rPr>
          <w:rFonts w:hint="eastAsia"/>
        </w:rPr>
        <w:t>Proposal 2.</w:t>
      </w:r>
      <w:r>
        <w:tab/>
      </w:r>
      <w:r w:rsidR="00D03090">
        <w:rPr>
          <w:rFonts w:hint="eastAsia"/>
        </w:rPr>
        <w:t xml:space="preserve">(Issue 3-7) </w:t>
      </w:r>
      <w:r w:rsidR="00CF7836">
        <w:rPr>
          <w:rFonts w:hint="eastAsia"/>
        </w:rPr>
        <w:t>More Data Indicator is set to 1 when transmitting Data Transfer message with 0 SDU.</w:t>
      </w:r>
    </w:p>
    <w:p w14:paraId="056A9248" w14:textId="77777777" w:rsidR="00460ED8" w:rsidRPr="00AE4832" w:rsidRDefault="00460ED8" w:rsidP="00AE4832">
      <w:pPr>
        <w:rPr>
          <w:szCs w:val="22"/>
        </w:rPr>
      </w:pPr>
    </w:p>
    <w:p w14:paraId="56E25677" w14:textId="77777777" w:rsidR="007E2FC8" w:rsidRDefault="007E2FC8" w:rsidP="00814E85">
      <w:pPr>
        <w:pStyle w:val="2"/>
        <w:numPr>
          <w:ilvl w:val="0"/>
          <w:numId w:val="2"/>
        </w:numPr>
      </w:pPr>
      <w:r>
        <w:rPr>
          <w:rFonts w:hint="eastAsia"/>
        </w:rPr>
        <w:t>Summary and proposal</w:t>
      </w:r>
    </w:p>
    <w:p w14:paraId="4E66B456" w14:textId="71EB00B7" w:rsidR="00205711" w:rsidRPr="00205711" w:rsidRDefault="00205711" w:rsidP="00205711">
      <w:pPr>
        <w:pStyle w:val="ObservationandProposal"/>
      </w:pPr>
      <w:r>
        <w:rPr>
          <w:rFonts w:hint="eastAsia"/>
        </w:rPr>
        <w:t>Observation 1.</w:t>
      </w:r>
      <w:r>
        <w:tab/>
      </w:r>
      <w:r>
        <w:rPr>
          <w:rFonts w:hint="eastAsia"/>
        </w:rPr>
        <w:t>(Issue 3-5) Based on the WID of R20 Ambient IoT, the scenario in which Release 20 Device 1 is paged by Release 19 reader can exist.</w:t>
      </w:r>
    </w:p>
    <w:p w14:paraId="2C64E37C" w14:textId="365DFAAE" w:rsidR="009C4D92" w:rsidRDefault="009C4D92" w:rsidP="009C4D92">
      <w:pPr>
        <w:pStyle w:val="ObservationandProposal"/>
      </w:pPr>
      <w:r>
        <w:rPr>
          <w:rFonts w:hint="eastAsia"/>
        </w:rPr>
        <w:t>Proposal 1.</w:t>
      </w:r>
      <w:r>
        <w:tab/>
      </w:r>
      <w:r w:rsidR="00D03090">
        <w:rPr>
          <w:rFonts w:hint="eastAsia"/>
        </w:rPr>
        <w:t xml:space="preserve">(Issue 3-5) </w:t>
      </w:r>
      <w:r>
        <w:rPr>
          <w:rFonts w:hint="eastAsia"/>
        </w:rPr>
        <w:t>Release 19 readers should ignore Release 20-introduced D2R message. Introducing D2R message type can be a solution.</w:t>
      </w:r>
    </w:p>
    <w:p w14:paraId="6EE6B781" w14:textId="77777777" w:rsidR="00205711" w:rsidRDefault="00205711" w:rsidP="00205711">
      <w:pPr>
        <w:pStyle w:val="ObservationandProposal"/>
        <w:rPr>
          <w:rFonts w:hint="eastAsia"/>
        </w:rPr>
      </w:pPr>
      <w:r>
        <w:rPr>
          <w:rFonts w:hint="eastAsia"/>
        </w:rPr>
        <w:t>Observation 2.</w:t>
      </w:r>
      <w:r>
        <w:tab/>
      </w:r>
      <w:r>
        <w:rPr>
          <w:rFonts w:hint="eastAsia"/>
        </w:rPr>
        <w:t>(Issue 3-7) Althhough RAN2 sent CT1 to ask to solve the situation in which the device delivers Data Transfer message with 0 SDU, RAN2 can find a solution without the CN impact.</w:t>
      </w:r>
    </w:p>
    <w:p w14:paraId="1798687C" w14:textId="1A6DBCE4" w:rsidR="009C4D92" w:rsidRDefault="009C4D92" w:rsidP="009C4D92">
      <w:pPr>
        <w:pStyle w:val="ObservationandProposal"/>
      </w:pPr>
      <w:r>
        <w:rPr>
          <w:rFonts w:hint="eastAsia"/>
        </w:rPr>
        <w:t>Proposal 2.</w:t>
      </w:r>
      <w:r>
        <w:tab/>
      </w:r>
      <w:r w:rsidR="00D03090">
        <w:rPr>
          <w:rFonts w:hint="eastAsia"/>
        </w:rPr>
        <w:t xml:space="preserve">(Issue 3-7) </w:t>
      </w:r>
      <w:r>
        <w:rPr>
          <w:rFonts w:hint="eastAsia"/>
        </w:rPr>
        <w:t>More Data Indicator is set to 1 when transmitting Data Transfer message with 0 SDU.</w:t>
      </w:r>
    </w:p>
    <w:p w14:paraId="6F871606" w14:textId="77777777" w:rsidR="009C4D92" w:rsidRPr="007771FD" w:rsidRDefault="009C4D92" w:rsidP="007E2FC8">
      <w:pPr>
        <w:rPr>
          <w:szCs w:val="22"/>
        </w:rPr>
      </w:pPr>
    </w:p>
    <w:p w14:paraId="19CDB79A" w14:textId="77777777" w:rsidR="007E2FC8" w:rsidRPr="00863065" w:rsidRDefault="007E2FC8" w:rsidP="00814E85">
      <w:pPr>
        <w:pStyle w:val="2"/>
        <w:numPr>
          <w:ilvl w:val="0"/>
          <w:numId w:val="2"/>
        </w:numPr>
        <w:rPr>
          <w:rFonts w:cs="Arial"/>
        </w:rPr>
      </w:pPr>
      <w:r w:rsidRPr="00863065">
        <w:rPr>
          <w:rFonts w:cs="Arial"/>
        </w:rPr>
        <w:t>Reference</w:t>
      </w:r>
      <w:r>
        <w:rPr>
          <w:rFonts w:cs="Arial" w:hint="eastAsia"/>
        </w:rPr>
        <w:t>s</w:t>
      </w:r>
    </w:p>
    <w:p w14:paraId="0409407B" w14:textId="7BEEA76F" w:rsidR="007E2FC8" w:rsidRDefault="00270E58" w:rsidP="00452602">
      <w:pPr>
        <w:pStyle w:val="Reference"/>
      </w:pPr>
      <w:r>
        <w:rPr>
          <w:rFonts w:hint="eastAsia"/>
        </w:rPr>
        <w:t>[1]</w:t>
      </w:r>
      <w:r w:rsidR="00452602">
        <w:tab/>
      </w:r>
      <w:r w:rsidR="00A032DE" w:rsidRPr="00A032DE">
        <w:t>[POST130][027][AIoT] MAC Running CR</w:t>
      </w:r>
      <w:r w:rsidR="00A032DE">
        <w:rPr>
          <w:rFonts w:hint="eastAsia"/>
        </w:rPr>
        <w:t xml:space="preserve"> (Huawei).</w:t>
      </w:r>
    </w:p>
    <w:p w14:paraId="7474BD5B" w14:textId="741CD8A8" w:rsidR="00447051" w:rsidRDefault="00447051" w:rsidP="00452602">
      <w:pPr>
        <w:pStyle w:val="Reference"/>
      </w:pPr>
      <w:r>
        <w:rPr>
          <w:rFonts w:hint="eastAsia"/>
        </w:rPr>
        <w:t>[2]</w:t>
      </w:r>
      <w:r>
        <w:tab/>
      </w:r>
      <w:r>
        <w:rPr>
          <w:rFonts w:hint="eastAsia"/>
        </w:rPr>
        <w:t xml:space="preserve">RP-251885, </w:t>
      </w:r>
      <w:r>
        <w:t>“</w:t>
      </w:r>
      <w:r w:rsidRPr="00447051">
        <w:t>Solutions for Ambient IoT (Internet of Things) in NR Phase 2</w:t>
      </w:r>
      <w:r>
        <w:rPr>
          <w:rFonts w:hint="eastAsia"/>
        </w:rPr>
        <w:t>,</w:t>
      </w:r>
      <w:r>
        <w:t>”</w:t>
      </w:r>
      <w:r>
        <w:rPr>
          <w:rFonts w:hint="eastAsia"/>
        </w:rPr>
        <w:t xml:space="preserve"> </w:t>
      </w:r>
      <w:r w:rsidR="00BB401F">
        <w:rPr>
          <w:rFonts w:hint="eastAsia"/>
        </w:rPr>
        <w:t>RAN#106.</w:t>
      </w:r>
    </w:p>
    <w:p w14:paraId="6D04B780" w14:textId="20F8DE2C" w:rsidR="0061727C" w:rsidRDefault="0061727C" w:rsidP="00452602">
      <w:pPr>
        <w:pStyle w:val="Reference"/>
      </w:pPr>
      <w:r>
        <w:rPr>
          <w:rFonts w:hint="eastAsia"/>
        </w:rPr>
        <w:lastRenderedPageBreak/>
        <w:t>[3]</w:t>
      </w:r>
      <w:r>
        <w:tab/>
        <w:t>“</w:t>
      </w:r>
      <w:r>
        <w:rPr>
          <w:rFonts w:hint="eastAsia"/>
        </w:rPr>
        <w:t>Chair</w:t>
      </w:r>
      <w:r>
        <w:t>’</w:t>
      </w:r>
      <w:r>
        <w:rPr>
          <w:rFonts w:hint="eastAsia"/>
        </w:rPr>
        <w:t>s notes,</w:t>
      </w:r>
      <w:r>
        <w:t>”</w:t>
      </w:r>
      <w:r>
        <w:rPr>
          <w:rFonts w:hint="eastAsia"/>
        </w:rPr>
        <w:t xml:space="preserve"> RAN2#130.</w:t>
      </w:r>
    </w:p>
    <w:p w14:paraId="42CF4102" w14:textId="3243A411" w:rsidR="00D95C0A" w:rsidRPr="009C4D92" w:rsidRDefault="00D95C0A" w:rsidP="00452602">
      <w:pPr>
        <w:pStyle w:val="Reference"/>
      </w:pPr>
      <w:r>
        <w:rPr>
          <w:rFonts w:hint="eastAsia"/>
        </w:rPr>
        <w:t>[4]</w:t>
      </w:r>
      <w:r>
        <w:tab/>
      </w:r>
      <w:r w:rsidR="009C4D92">
        <w:rPr>
          <w:rFonts w:hint="eastAsia"/>
        </w:rPr>
        <w:t xml:space="preserve">R2-2504967, </w:t>
      </w:r>
      <w:r w:rsidR="009C4D92">
        <w:t>“</w:t>
      </w:r>
      <w:r w:rsidR="009C4D92" w:rsidRPr="009C4D92">
        <w:t>LS on delayed A-IoT D2R NAS messages</w:t>
      </w:r>
      <w:r w:rsidR="009C4D92">
        <w:rPr>
          <w:rFonts w:hint="eastAsia"/>
        </w:rPr>
        <w:t>,</w:t>
      </w:r>
      <w:r w:rsidR="009C4D92">
        <w:t>”</w:t>
      </w:r>
      <w:r w:rsidR="009C4D92">
        <w:rPr>
          <w:rFonts w:hint="eastAsia"/>
        </w:rPr>
        <w:t xml:space="preserve"> RAN2#130.</w:t>
      </w:r>
    </w:p>
    <w:p w14:paraId="71FB5545" w14:textId="77777777" w:rsidR="008E5A66" w:rsidRPr="00262F8E" w:rsidRDefault="008E5A66">
      <w:pPr>
        <w:rPr>
          <w:szCs w:val="22"/>
        </w:rPr>
      </w:pPr>
    </w:p>
    <w:sectPr w:rsidR="008E5A66" w:rsidRPr="00262F8E">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CA2CB" w14:textId="77777777" w:rsidR="008E40A3" w:rsidRDefault="008E40A3" w:rsidP="007E2FC8">
      <w:pPr>
        <w:spacing w:after="0"/>
      </w:pPr>
      <w:r>
        <w:separator/>
      </w:r>
    </w:p>
    <w:p w14:paraId="311E2D00" w14:textId="77777777" w:rsidR="008E40A3" w:rsidRDefault="008E40A3"/>
    <w:p w14:paraId="6DB11803" w14:textId="77777777" w:rsidR="008E40A3" w:rsidRDefault="008E40A3" w:rsidP="00273403"/>
  </w:endnote>
  <w:endnote w:type="continuationSeparator" w:id="0">
    <w:p w14:paraId="336F1DD3" w14:textId="77777777" w:rsidR="008E40A3" w:rsidRDefault="008E40A3" w:rsidP="007E2FC8">
      <w:pPr>
        <w:spacing w:after="0"/>
      </w:pPr>
      <w:r>
        <w:continuationSeparator/>
      </w:r>
    </w:p>
    <w:p w14:paraId="48D80935" w14:textId="77777777" w:rsidR="008E40A3" w:rsidRDefault="008E40A3"/>
    <w:p w14:paraId="22E62320" w14:textId="77777777" w:rsidR="008E40A3" w:rsidRDefault="008E40A3"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IZ UDPゴシック">
    <w:panose1 w:val="020B0400000000000000"/>
    <w:charset w:val="80"/>
    <w:family w:val="modern"/>
    <w:pitch w:val="variable"/>
    <w:sig w:usb0="E00002F7" w:usb1="2AC7EDF8" w:usb2="00000012"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ABE35" w14:textId="77777777" w:rsidR="008E40A3" w:rsidRDefault="008E40A3" w:rsidP="007E2FC8">
      <w:pPr>
        <w:spacing w:after="0"/>
      </w:pPr>
      <w:r>
        <w:separator/>
      </w:r>
    </w:p>
    <w:p w14:paraId="07FFF2D0" w14:textId="77777777" w:rsidR="008E40A3" w:rsidRDefault="008E40A3"/>
    <w:p w14:paraId="0112DD33" w14:textId="77777777" w:rsidR="008E40A3" w:rsidRDefault="008E40A3" w:rsidP="00273403"/>
  </w:footnote>
  <w:footnote w:type="continuationSeparator" w:id="0">
    <w:p w14:paraId="1C740C51" w14:textId="77777777" w:rsidR="008E40A3" w:rsidRDefault="008E40A3" w:rsidP="007E2FC8">
      <w:pPr>
        <w:spacing w:after="0"/>
      </w:pPr>
      <w:r>
        <w:continuationSeparator/>
      </w:r>
    </w:p>
    <w:p w14:paraId="2B094ACE" w14:textId="77777777" w:rsidR="008E40A3" w:rsidRDefault="008E40A3"/>
    <w:p w14:paraId="1E879056" w14:textId="77777777" w:rsidR="008E40A3" w:rsidRDefault="008E40A3"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203635"/>
    <w:multiLevelType w:val="hybridMultilevel"/>
    <w:tmpl w:val="8FE6EA3C"/>
    <w:lvl w:ilvl="0" w:tplc="6838C072">
      <w:start w:val="2"/>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C3F5272"/>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2415779C"/>
    <w:multiLevelType w:val="multilevel"/>
    <w:tmpl w:val="2415779C"/>
    <w:lvl w:ilvl="0">
      <w:numFmt w:val="bullet"/>
      <w:lvlText w:val="-"/>
      <w:lvlJc w:val="left"/>
      <w:pPr>
        <w:ind w:left="360" w:hanging="360"/>
      </w:pPr>
      <w:rPr>
        <w:rFonts w:ascii="Times New Roman" w:eastAsia="ＭＳ 明朝"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85E4A31"/>
    <w:multiLevelType w:val="hybridMultilevel"/>
    <w:tmpl w:val="F78E9B06"/>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5"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9"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7AD520D0"/>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866942341">
    <w:abstractNumId w:val="8"/>
  </w:num>
  <w:num w:numId="2" w16cid:durableId="1916432099">
    <w:abstractNumId w:val="6"/>
  </w:num>
  <w:num w:numId="3" w16cid:durableId="961111639">
    <w:abstractNumId w:val="7"/>
  </w:num>
  <w:num w:numId="4" w16cid:durableId="763300591">
    <w:abstractNumId w:val="3"/>
  </w:num>
  <w:num w:numId="5" w16cid:durableId="1062948673">
    <w:abstractNumId w:val="0"/>
  </w:num>
  <w:num w:numId="6" w16cid:durableId="311836194">
    <w:abstractNumId w:val="5"/>
  </w:num>
  <w:num w:numId="7" w16cid:durableId="498888959">
    <w:abstractNumId w:val="1"/>
  </w:num>
  <w:num w:numId="8" w16cid:durableId="1799377939">
    <w:abstractNumId w:val="9"/>
  </w:num>
  <w:num w:numId="9" w16cid:durableId="72361807">
    <w:abstractNumId w:val="10"/>
  </w:num>
  <w:num w:numId="10" w16cid:durableId="810487861">
    <w:abstractNumId w:val="2"/>
  </w:num>
  <w:num w:numId="11" w16cid:durableId="8300249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21C5"/>
    <w:rsid w:val="000B6616"/>
    <w:rsid w:val="000F4F2A"/>
    <w:rsid w:val="00100E86"/>
    <w:rsid w:val="00117FF2"/>
    <w:rsid w:val="0012422C"/>
    <w:rsid w:val="001376E5"/>
    <w:rsid w:val="00150878"/>
    <w:rsid w:val="00173F01"/>
    <w:rsid w:val="001955FE"/>
    <w:rsid w:val="001E0100"/>
    <w:rsid w:val="001E1D1E"/>
    <w:rsid w:val="00202D77"/>
    <w:rsid w:val="00205711"/>
    <w:rsid w:val="00225894"/>
    <w:rsid w:val="0023098C"/>
    <w:rsid w:val="002423D2"/>
    <w:rsid w:val="00252EA0"/>
    <w:rsid w:val="00262F8E"/>
    <w:rsid w:val="00270E58"/>
    <w:rsid w:val="00273403"/>
    <w:rsid w:val="002B2CE8"/>
    <w:rsid w:val="002B674A"/>
    <w:rsid w:val="0035021A"/>
    <w:rsid w:val="00382B83"/>
    <w:rsid w:val="00385B37"/>
    <w:rsid w:val="00386905"/>
    <w:rsid w:val="003965B3"/>
    <w:rsid w:val="00414674"/>
    <w:rsid w:val="00447051"/>
    <w:rsid w:val="00452602"/>
    <w:rsid w:val="004548B7"/>
    <w:rsid w:val="00460072"/>
    <w:rsid w:val="00460ED8"/>
    <w:rsid w:val="004A3CEE"/>
    <w:rsid w:val="004B732D"/>
    <w:rsid w:val="004D1B48"/>
    <w:rsid w:val="004D1E49"/>
    <w:rsid w:val="004E6B03"/>
    <w:rsid w:val="004F6390"/>
    <w:rsid w:val="00530248"/>
    <w:rsid w:val="00537958"/>
    <w:rsid w:val="005413DD"/>
    <w:rsid w:val="0058362B"/>
    <w:rsid w:val="005839E2"/>
    <w:rsid w:val="005857F6"/>
    <w:rsid w:val="00592239"/>
    <w:rsid w:val="00593370"/>
    <w:rsid w:val="005F1EB4"/>
    <w:rsid w:val="005F73C8"/>
    <w:rsid w:val="0061017F"/>
    <w:rsid w:val="0061727C"/>
    <w:rsid w:val="0064067A"/>
    <w:rsid w:val="00654D47"/>
    <w:rsid w:val="00661AB4"/>
    <w:rsid w:val="006A0F7F"/>
    <w:rsid w:val="006A60C7"/>
    <w:rsid w:val="006B1212"/>
    <w:rsid w:val="006B7ACC"/>
    <w:rsid w:val="006C3800"/>
    <w:rsid w:val="006E0089"/>
    <w:rsid w:val="0072551B"/>
    <w:rsid w:val="00735D62"/>
    <w:rsid w:val="007373B1"/>
    <w:rsid w:val="0074668C"/>
    <w:rsid w:val="007771FD"/>
    <w:rsid w:val="007A3E79"/>
    <w:rsid w:val="007C6108"/>
    <w:rsid w:val="007E0EA7"/>
    <w:rsid w:val="007E2FC8"/>
    <w:rsid w:val="007F7777"/>
    <w:rsid w:val="00814E85"/>
    <w:rsid w:val="0083168F"/>
    <w:rsid w:val="00896DC7"/>
    <w:rsid w:val="008C2D47"/>
    <w:rsid w:val="008E40A3"/>
    <w:rsid w:val="008E5A66"/>
    <w:rsid w:val="0092515C"/>
    <w:rsid w:val="00966158"/>
    <w:rsid w:val="00990639"/>
    <w:rsid w:val="00997524"/>
    <w:rsid w:val="009C4D92"/>
    <w:rsid w:val="009D107E"/>
    <w:rsid w:val="009D51E7"/>
    <w:rsid w:val="00A032DE"/>
    <w:rsid w:val="00A32033"/>
    <w:rsid w:val="00A3293A"/>
    <w:rsid w:val="00A978E0"/>
    <w:rsid w:val="00AB422A"/>
    <w:rsid w:val="00AE4832"/>
    <w:rsid w:val="00B329A1"/>
    <w:rsid w:val="00B75B6B"/>
    <w:rsid w:val="00BB401F"/>
    <w:rsid w:val="00BE54E2"/>
    <w:rsid w:val="00BF4022"/>
    <w:rsid w:val="00BF4D0C"/>
    <w:rsid w:val="00C97CFC"/>
    <w:rsid w:val="00CA37C8"/>
    <w:rsid w:val="00CF7836"/>
    <w:rsid w:val="00D03090"/>
    <w:rsid w:val="00D109C8"/>
    <w:rsid w:val="00D269F0"/>
    <w:rsid w:val="00D366F8"/>
    <w:rsid w:val="00D438BF"/>
    <w:rsid w:val="00D614EE"/>
    <w:rsid w:val="00D8679B"/>
    <w:rsid w:val="00D94041"/>
    <w:rsid w:val="00D95C0A"/>
    <w:rsid w:val="00DB3109"/>
    <w:rsid w:val="00DB76B3"/>
    <w:rsid w:val="00DD27B2"/>
    <w:rsid w:val="00DD53A9"/>
    <w:rsid w:val="00DE777E"/>
    <w:rsid w:val="00E2631E"/>
    <w:rsid w:val="00E5409C"/>
    <w:rsid w:val="00E94CAF"/>
    <w:rsid w:val="00EB1AD1"/>
    <w:rsid w:val="00EC3EEA"/>
    <w:rsid w:val="00F20EE3"/>
    <w:rsid w:val="00F37D07"/>
    <w:rsid w:val="00F53058"/>
    <w:rsid w:val="00F560E5"/>
    <w:rsid w:val="00F9038B"/>
    <w:rsid w:val="00F9453E"/>
    <w:rsid w:val="00FC72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aliases w:val="TableGrid"/>
    <w:basedOn w:val="a1"/>
    <w:qFormat/>
    <w:rsid w:val="00A032DE"/>
    <w:rPr>
      <w:rFonts w:asciiTheme="minorHAnsi" w:eastAsia="SimSun" w:hAnsiTheme="minorHAnsi"/>
      <w:sz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link w:val="ac"/>
    <w:uiPriority w:val="34"/>
    <w:qFormat/>
    <w:rsid w:val="00A032DE"/>
    <w:pPr>
      <w:spacing w:after="160" w:line="259" w:lineRule="auto"/>
      <w:ind w:left="720"/>
      <w:contextualSpacing/>
    </w:pPr>
    <w:rPr>
      <w:rFonts w:asciiTheme="minorHAnsi" w:eastAsiaTheme="minorHAnsi" w:hAnsiTheme="minorHAnsi"/>
      <w:sz w:val="22"/>
      <w:szCs w:val="22"/>
      <w:lang w:eastAsia="en-US"/>
    </w:rPr>
  </w:style>
  <w:style w:type="character" w:customStyle="1" w:styleId="ac">
    <w:name w:val="リスト段落 (文字)"/>
    <w:link w:val="ab"/>
    <w:uiPriority w:val="34"/>
    <w:qFormat/>
    <w:locked/>
    <w:rsid w:val="00A032DE"/>
    <w:rPr>
      <w:rFonts w:asciiTheme="minorHAnsi" w:eastAsiaTheme="minorHAnsi" w:hAnsiTheme="minorHAnsi"/>
      <w:sz w:val="22"/>
      <w:szCs w:val="22"/>
      <w:lang w:eastAsia="en-US"/>
    </w:rPr>
  </w:style>
  <w:style w:type="character" w:styleId="ad">
    <w:name w:val="Placeholder Text"/>
    <w:basedOn w:val="a0"/>
    <w:uiPriority w:val="99"/>
    <w:semiHidden/>
    <w:rsid w:val="00D438BF"/>
    <w:rPr>
      <w:color w:val="666666"/>
    </w:rPr>
  </w:style>
  <w:style w:type="paragraph" w:customStyle="1" w:styleId="Doc-text2">
    <w:name w:val="Doc-text2"/>
    <w:basedOn w:val="a"/>
    <w:link w:val="Doc-text2Char"/>
    <w:rsid w:val="0061727C"/>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61727C"/>
    <w:rPr>
      <w:rFonts w:eastAsia="ＭＳ 明朝"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17621">
      <w:bodyDiv w:val="1"/>
      <w:marLeft w:val="0"/>
      <w:marRight w:val="0"/>
      <w:marTop w:val="0"/>
      <w:marBottom w:val="0"/>
      <w:divBdr>
        <w:top w:val="none" w:sz="0" w:space="0" w:color="auto"/>
        <w:left w:val="none" w:sz="0" w:space="0" w:color="auto"/>
        <w:bottom w:val="none" w:sz="0" w:space="0" w:color="auto"/>
        <w:right w:val="none" w:sz="0" w:space="0" w:color="auto"/>
      </w:divBdr>
      <w:divsChild>
        <w:div w:id="552544006">
          <w:marLeft w:val="0"/>
          <w:marRight w:val="0"/>
          <w:marTop w:val="0"/>
          <w:marBottom w:val="0"/>
          <w:divBdr>
            <w:top w:val="none" w:sz="0" w:space="0" w:color="auto"/>
            <w:left w:val="none" w:sz="0" w:space="0" w:color="auto"/>
            <w:bottom w:val="none" w:sz="0" w:space="0" w:color="auto"/>
            <w:right w:val="none" w:sz="0" w:space="0" w:color="auto"/>
          </w:divBdr>
        </w:div>
      </w:divsChild>
    </w:div>
    <w:div w:id="708728417">
      <w:bodyDiv w:val="1"/>
      <w:marLeft w:val="0"/>
      <w:marRight w:val="0"/>
      <w:marTop w:val="0"/>
      <w:marBottom w:val="0"/>
      <w:divBdr>
        <w:top w:val="none" w:sz="0" w:space="0" w:color="auto"/>
        <w:left w:val="none" w:sz="0" w:space="0" w:color="auto"/>
        <w:bottom w:val="none" w:sz="0" w:space="0" w:color="auto"/>
        <w:right w:val="none" w:sz="0" w:space="0" w:color="auto"/>
      </w:divBdr>
      <w:divsChild>
        <w:div w:id="16349394">
          <w:marLeft w:val="0"/>
          <w:marRight w:val="0"/>
          <w:marTop w:val="0"/>
          <w:marBottom w:val="0"/>
          <w:divBdr>
            <w:top w:val="none" w:sz="0" w:space="0" w:color="auto"/>
            <w:left w:val="none" w:sz="0" w:space="0" w:color="auto"/>
            <w:bottom w:val="none" w:sz="0" w:space="0" w:color="auto"/>
            <w:right w:val="none" w:sz="0" w:space="0" w:color="auto"/>
          </w:divBdr>
        </w:div>
      </w:divsChild>
    </w:div>
    <w:div w:id="914441371">
      <w:bodyDiv w:val="1"/>
      <w:marLeft w:val="0"/>
      <w:marRight w:val="0"/>
      <w:marTop w:val="0"/>
      <w:marBottom w:val="0"/>
      <w:divBdr>
        <w:top w:val="none" w:sz="0" w:space="0" w:color="auto"/>
        <w:left w:val="none" w:sz="0" w:space="0" w:color="auto"/>
        <w:bottom w:val="none" w:sz="0" w:space="0" w:color="auto"/>
        <w:right w:val="none" w:sz="0" w:space="0" w:color="auto"/>
      </w:divBdr>
    </w:div>
    <w:div w:id="1122192980">
      <w:bodyDiv w:val="1"/>
      <w:marLeft w:val="0"/>
      <w:marRight w:val="0"/>
      <w:marTop w:val="0"/>
      <w:marBottom w:val="0"/>
      <w:divBdr>
        <w:top w:val="none" w:sz="0" w:space="0" w:color="auto"/>
        <w:left w:val="none" w:sz="0" w:space="0" w:color="auto"/>
        <w:bottom w:val="none" w:sz="0" w:space="0" w:color="auto"/>
        <w:right w:val="none" w:sz="0" w:space="0" w:color="auto"/>
      </w:divBdr>
    </w:div>
    <w:div w:id="1213081315">
      <w:bodyDiv w:val="1"/>
      <w:marLeft w:val="0"/>
      <w:marRight w:val="0"/>
      <w:marTop w:val="0"/>
      <w:marBottom w:val="0"/>
      <w:divBdr>
        <w:top w:val="none" w:sz="0" w:space="0" w:color="auto"/>
        <w:left w:val="none" w:sz="0" w:space="0" w:color="auto"/>
        <w:bottom w:val="none" w:sz="0" w:space="0" w:color="auto"/>
        <w:right w:val="none" w:sz="0" w:space="0" w:color="auto"/>
      </w:divBdr>
    </w:div>
    <w:div w:id="1223256501">
      <w:bodyDiv w:val="1"/>
      <w:marLeft w:val="0"/>
      <w:marRight w:val="0"/>
      <w:marTop w:val="0"/>
      <w:marBottom w:val="0"/>
      <w:divBdr>
        <w:top w:val="none" w:sz="0" w:space="0" w:color="auto"/>
        <w:left w:val="none" w:sz="0" w:space="0" w:color="auto"/>
        <w:bottom w:val="none" w:sz="0" w:space="0" w:color="auto"/>
        <w:right w:val="none" w:sz="0" w:space="0" w:color="auto"/>
      </w:divBdr>
      <w:divsChild>
        <w:div w:id="1367949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465</TotalTime>
  <Pages>4</Pages>
  <Words>947</Words>
  <Characters>5404</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67</cp:revision>
  <dcterms:created xsi:type="dcterms:W3CDTF">2021-10-20T07:13:00Z</dcterms:created>
  <dcterms:modified xsi:type="dcterms:W3CDTF">2025-08-15T08:36:00Z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